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76" w:lineRule="auto"/>
        <w:jc w:val="center"/>
        <w:rPr>
          <w:rFonts w:ascii="Raleway" w:cs="Raleway" w:eastAsia="Raleway" w:hAnsi="Raleway"/>
          <w:color w:val="8dc63f"/>
          <w:sz w:val="36"/>
          <w:szCs w:val="36"/>
        </w:rPr>
      </w:pPr>
      <w:r w:rsidDel="00000000" w:rsidR="00000000" w:rsidRPr="00000000">
        <w:rPr>
          <w:rFonts w:ascii="Raleway" w:cs="Raleway" w:eastAsia="Raleway" w:hAnsi="Raleway"/>
          <w:color w:val="8dc63f"/>
          <w:sz w:val="36"/>
          <w:szCs w:val="36"/>
          <w:rtl w:val="0"/>
        </w:rPr>
        <w:t xml:space="preserve">Alimentation </w:t>
      </w:r>
    </w:p>
    <w:p w:rsidR="00000000" w:rsidDel="00000000" w:rsidP="00000000" w:rsidRDefault="00000000" w:rsidRPr="00000000" w14:paraId="00000002">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Se nourrir est un besoin physiologique, mais les repas sont aussi des moments de partage et de convivialité. Dans de nombreuses cultures, le partage du repas est un acte fondamental de socialisation. En christianisme, il devient avec la Cène porteur d’une symbolique encore bien supérieure. </w:t>
      </w:r>
      <w:r w:rsidDel="00000000" w:rsidR="00000000" w:rsidRPr="00000000">
        <w:rPr>
          <w:rtl w:val="0"/>
        </w:rPr>
      </w:r>
    </w:p>
    <w:p w:rsidR="00000000" w:rsidDel="00000000" w:rsidP="00000000" w:rsidRDefault="00000000" w:rsidRPr="00000000" w14:paraId="00000003">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Nos choix de consommation pour nos repas ont un impact direct sur notre santé, sur notre environnement et sur les conditions de vie des êtres humains. </w:t>
      </w:r>
      <w:r w:rsidDel="00000000" w:rsidR="00000000" w:rsidRPr="00000000">
        <w:rPr>
          <w:rtl w:val="0"/>
        </w:rPr>
      </w:r>
    </w:p>
    <w:p w:rsidR="00000000" w:rsidDel="00000000" w:rsidP="00000000" w:rsidRDefault="00000000" w:rsidRPr="00000000" w14:paraId="00000004">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tl w:val="0"/>
        </w:rPr>
      </w:r>
    </w:p>
    <w:p w:rsidR="00000000" w:rsidDel="00000000" w:rsidP="00000000" w:rsidRDefault="00000000" w:rsidRPr="00000000" w14:paraId="00000005">
      <w:pPr>
        <w:widowControl w:val="1"/>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Raleway" w:cs="Raleway" w:eastAsia="Raleway" w:hAnsi="Raleway"/>
          <w:color w:val="4396cb"/>
          <w:sz w:val="28"/>
          <w:szCs w:val="28"/>
          <w:rtl w:val="0"/>
        </w:rPr>
        <w:t xml:space="preserve">Réfléchir</w:t>
      </w:r>
      <w:r w:rsidDel="00000000" w:rsidR="00000000" w:rsidRPr="00000000">
        <w:rPr>
          <w:rtl w:val="0"/>
        </w:rPr>
      </w:r>
    </w:p>
    <w:p w:rsidR="00000000" w:rsidDel="00000000" w:rsidP="00000000" w:rsidRDefault="00000000" w:rsidRPr="00000000" w14:paraId="0000000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Ce questionnaire permet d’évaluer les modes de consommation alimentaire du groupe et la gestion des déchets générés par notre alimentation. Il est proposé d'y répondre avec les jeunes, en réfléchissant avec eux aux sens des différentes questions, à ce qui pourrait évoluer dans le groupe…</w:t>
      </w:r>
      <w:r w:rsidDel="00000000" w:rsidR="00000000" w:rsidRPr="00000000">
        <w:rPr>
          <w:rtl w:val="0"/>
        </w:rPr>
      </w:r>
    </w:p>
    <w:p w:rsidR="00000000" w:rsidDel="00000000" w:rsidP="00000000" w:rsidRDefault="00000000" w:rsidRPr="00000000" w14:paraId="0000000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08">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C.1. </w:t>
      </w:r>
      <w:r w:rsidDel="00000000" w:rsidR="00000000" w:rsidRPr="00000000">
        <w:rPr>
          <w:rFonts w:ascii="Open Sans Light" w:cs="Open Sans Light" w:eastAsia="Open Sans Light" w:hAnsi="Open Sans Light"/>
          <w:sz w:val="20"/>
          <w:szCs w:val="20"/>
          <w:vertAlign w:val="baseline"/>
          <w:rtl w:val="0"/>
        </w:rPr>
        <w:t xml:space="preserve">Nos repas et nos goûters sont partagés</w:t>
      </w:r>
      <w:r w:rsidDel="00000000" w:rsidR="00000000" w:rsidRPr="00000000">
        <w:rPr>
          <w:rtl w:val="0"/>
        </w:rPr>
      </w:r>
    </w:p>
    <w:p w:rsidR="00000000" w:rsidDel="00000000" w:rsidP="00000000" w:rsidRDefault="00000000" w:rsidRPr="00000000" w14:paraId="00000009">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0A">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C.2.</w:t>
      </w:r>
      <w:r w:rsidDel="00000000" w:rsidR="00000000" w:rsidRPr="00000000">
        <w:rPr>
          <w:rFonts w:ascii="Open Sans Light" w:cs="Open Sans Light" w:eastAsia="Open Sans Light" w:hAnsi="Open Sans Light"/>
          <w:sz w:val="20"/>
          <w:szCs w:val="20"/>
          <w:vertAlign w:val="baseline"/>
          <w:rtl w:val="0"/>
        </w:rPr>
        <w:t xml:space="preserve"> Nos repas et nos goûters sont faits maison</w:t>
      </w:r>
      <w:r w:rsidDel="00000000" w:rsidR="00000000" w:rsidRPr="00000000">
        <w:rPr>
          <w:rtl w:val="0"/>
        </w:rPr>
      </w:r>
    </w:p>
    <w:p w:rsidR="00000000" w:rsidDel="00000000" w:rsidP="00000000" w:rsidRDefault="00000000" w:rsidRPr="00000000" w14:paraId="0000000B">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0C">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C.3.</w:t>
      </w:r>
      <w:r w:rsidDel="00000000" w:rsidR="00000000" w:rsidRPr="00000000">
        <w:rPr>
          <w:rFonts w:ascii="Open Sans Light" w:cs="Open Sans Light" w:eastAsia="Open Sans Light" w:hAnsi="Open Sans Light"/>
          <w:sz w:val="20"/>
          <w:szCs w:val="20"/>
          <w:vertAlign w:val="baseline"/>
          <w:rtl w:val="0"/>
        </w:rPr>
        <w:t xml:space="preserve"> Nos repas et nos goûters sont composés de produits de saison</w:t>
      </w:r>
      <w:r w:rsidDel="00000000" w:rsidR="00000000" w:rsidRPr="00000000">
        <w:rPr>
          <w:rtl w:val="0"/>
        </w:rPr>
      </w:r>
    </w:p>
    <w:p w:rsidR="00000000" w:rsidDel="00000000" w:rsidP="00000000" w:rsidRDefault="00000000" w:rsidRPr="00000000" w14:paraId="0000000D">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0E">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C.4. </w:t>
      </w:r>
      <w:r w:rsidDel="00000000" w:rsidR="00000000" w:rsidRPr="00000000">
        <w:rPr>
          <w:rFonts w:ascii="Open Sans Light" w:cs="Open Sans Light" w:eastAsia="Open Sans Light" w:hAnsi="Open Sans Light"/>
          <w:sz w:val="20"/>
          <w:szCs w:val="20"/>
          <w:vertAlign w:val="baseline"/>
          <w:rtl w:val="0"/>
        </w:rPr>
        <w:t xml:space="preserve">Nos repas et nos goûters sont composés de produits locaux</w:t>
      </w:r>
      <w:r w:rsidDel="00000000" w:rsidR="00000000" w:rsidRPr="00000000">
        <w:rPr>
          <w:rtl w:val="0"/>
        </w:rPr>
      </w:r>
    </w:p>
    <w:p w:rsidR="00000000" w:rsidDel="00000000" w:rsidP="00000000" w:rsidRDefault="00000000" w:rsidRPr="00000000" w14:paraId="0000000F">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0">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C.5. </w:t>
      </w:r>
      <w:r w:rsidDel="00000000" w:rsidR="00000000" w:rsidRPr="00000000">
        <w:rPr>
          <w:rFonts w:ascii="Open Sans Light" w:cs="Open Sans Light" w:eastAsia="Open Sans Light" w:hAnsi="Open Sans Light"/>
          <w:sz w:val="20"/>
          <w:szCs w:val="20"/>
          <w:vertAlign w:val="baseline"/>
          <w:rtl w:val="0"/>
        </w:rPr>
        <w:t xml:space="preserve">Quand les produits ne sont pas locaux, nos repas et nos goûters sont composés de produits issus du commerce équitable</w:t>
      </w:r>
      <w:r w:rsidDel="00000000" w:rsidR="00000000" w:rsidRPr="00000000">
        <w:rPr>
          <w:rtl w:val="0"/>
        </w:rPr>
      </w:r>
    </w:p>
    <w:p w:rsidR="00000000" w:rsidDel="00000000" w:rsidP="00000000" w:rsidRDefault="00000000" w:rsidRPr="00000000" w14:paraId="00000011">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2">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C.6. </w:t>
      </w:r>
      <w:r w:rsidDel="00000000" w:rsidR="00000000" w:rsidRPr="00000000">
        <w:rPr>
          <w:rFonts w:ascii="Open Sans Light" w:cs="Open Sans Light" w:eastAsia="Open Sans Light" w:hAnsi="Open Sans Light"/>
          <w:sz w:val="20"/>
          <w:szCs w:val="20"/>
          <w:vertAlign w:val="baseline"/>
          <w:rtl w:val="0"/>
        </w:rPr>
        <w:t xml:space="preserve">Nous essayons des recettes végétariennes</w:t>
      </w:r>
      <w:r w:rsidDel="00000000" w:rsidR="00000000" w:rsidRPr="00000000">
        <w:rPr>
          <w:rtl w:val="0"/>
        </w:rPr>
      </w:r>
    </w:p>
    <w:p w:rsidR="00000000" w:rsidDel="00000000" w:rsidP="00000000" w:rsidRDefault="00000000" w:rsidRPr="00000000" w14:paraId="00000013">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4">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rtl w:val="0"/>
        </w:rPr>
        <w:t xml:space="preserve">C.7.</w:t>
      </w:r>
      <w:r w:rsidDel="00000000" w:rsidR="00000000" w:rsidRPr="00000000">
        <w:rPr>
          <w:rFonts w:ascii="Open Sans Light" w:cs="Open Sans Light" w:eastAsia="Open Sans Light" w:hAnsi="Open Sans Light"/>
          <w:sz w:val="20"/>
          <w:szCs w:val="20"/>
          <w:vertAlign w:val="baseline"/>
          <w:rtl w:val="0"/>
        </w:rPr>
        <w:t xml:space="preserve"> Nous faisons attention aux modes de production et à l’origine des produits consommés (agriculture biologique, commerce équitable...)</w:t>
      </w:r>
      <w:r w:rsidDel="00000000" w:rsidR="00000000" w:rsidRPr="00000000">
        <w:rPr>
          <w:rtl w:val="0"/>
        </w:rPr>
      </w:r>
    </w:p>
    <w:p w:rsidR="00000000" w:rsidDel="00000000" w:rsidP="00000000" w:rsidRDefault="00000000" w:rsidRPr="00000000" w14:paraId="00000015">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C.8. </w:t>
      </w:r>
      <w:r w:rsidDel="00000000" w:rsidR="00000000" w:rsidRPr="00000000">
        <w:rPr>
          <w:rFonts w:ascii="Open Sans Light" w:cs="Open Sans Light" w:eastAsia="Open Sans Light" w:hAnsi="Open Sans Light"/>
          <w:sz w:val="20"/>
          <w:szCs w:val="20"/>
          <w:vertAlign w:val="baseline"/>
          <w:rtl w:val="0"/>
        </w:rPr>
        <w:t xml:space="preserve">Nous faisons attention aux quantités pour ne pas gaspiller de nourriture</w:t>
      </w:r>
    </w:p>
    <w:p w:rsidR="00000000" w:rsidDel="00000000" w:rsidP="00000000" w:rsidRDefault="00000000" w:rsidRPr="00000000" w14:paraId="0000001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8">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C.9. </w:t>
      </w:r>
      <w:r w:rsidDel="00000000" w:rsidR="00000000" w:rsidRPr="00000000">
        <w:rPr>
          <w:rFonts w:ascii="Open Sans Light" w:cs="Open Sans Light" w:eastAsia="Open Sans Light" w:hAnsi="Open Sans Light"/>
          <w:sz w:val="20"/>
          <w:szCs w:val="20"/>
          <w:vertAlign w:val="baseline"/>
          <w:rtl w:val="0"/>
        </w:rPr>
        <w:t xml:space="preserve">Nous compostons nos déchets organiques</w:t>
      </w:r>
      <w:r w:rsidDel="00000000" w:rsidR="00000000" w:rsidRPr="00000000">
        <w:rPr>
          <w:rtl w:val="0"/>
        </w:rPr>
      </w:r>
    </w:p>
    <w:p w:rsidR="00000000" w:rsidDel="00000000" w:rsidP="00000000" w:rsidRDefault="00000000" w:rsidRPr="00000000" w14:paraId="00000019">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A">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C.10. </w:t>
      </w:r>
      <w:r w:rsidDel="00000000" w:rsidR="00000000" w:rsidRPr="00000000">
        <w:rPr>
          <w:rFonts w:ascii="Open Sans Light" w:cs="Open Sans Light" w:eastAsia="Open Sans Light" w:hAnsi="Open Sans Light"/>
          <w:sz w:val="20"/>
          <w:szCs w:val="20"/>
          <w:vertAlign w:val="baseline"/>
          <w:rtl w:val="0"/>
        </w:rPr>
        <w:t xml:space="preserve">En faisant nos courses, ou en apportant nos pique-nique / goûters faits maison, nous utilisons des contenants et sacs réutilisables pour limiter les emballages et en particulier le plastique</w:t>
      </w:r>
      <w:r w:rsidDel="00000000" w:rsidR="00000000" w:rsidRPr="00000000">
        <w:rPr>
          <w:rtl w:val="0"/>
        </w:rPr>
      </w:r>
    </w:p>
    <w:p w:rsidR="00000000" w:rsidDel="00000000" w:rsidP="00000000" w:rsidRDefault="00000000" w:rsidRPr="00000000" w14:paraId="0000001B">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C">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w:cs="Open Sans" w:eastAsia="Open Sans" w:hAnsi="Open Sans"/>
          <w:b w:val="1"/>
          <w:sz w:val="20"/>
          <w:szCs w:val="20"/>
          <w:vertAlign w:val="baseline"/>
          <w:rtl w:val="0"/>
        </w:rPr>
        <w:t xml:space="preserve">C.11. </w:t>
      </w:r>
      <w:r w:rsidDel="00000000" w:rsidR="00000000" w:rsidRPr="00000000">
        <w:rPr>
          <w:rFonts w:ascii="Open Sans Light" w:cs="Open Sans Light" w:eastAsia="Open Sans Light" w:hAnsi="Open Sans Light"/>
          <w:sz w:val="20"/>
          <w:szCs w:val="20"/>
          <w:vertAlign w:val="baseline"/>
          <w:rtl w:val="0"/>
        </w:rPr>
        <w:t xml:space="preserve">Nous buvons de l’eau du robinet et avons chacun notre gourde et/ ou ecocup lors de nos rencontres</w:t>
      </w:r>
      <w:r w:rsidDel="00000000" w:rsidR="00000000" w:rsidRPr="00000000">
        <w:rPr>
          <w:rtl w:val="0"/>
        </w:rPr>
      </w:r>
    </w:p>
    <w:p w:rsidR="00000000" w:rsidDel="00000000" w:rsidP="00000000" w:rsidRDefault="00000000" w:rsidRPr="00000000" w14:paraId="0000001D">
      <w:pPr>
        <w:spacing w:after="120" w:line="276" w:lineRule="auto"/>
        <w:jc w:val="both"/>
        <w:rPr>
          <w:rFonts w:ascii="Open Sans Light" w:cs="Open Sans Light" w:eastAsia="Open Sans Light" w:hAnsi="Open Sans Light"/>
          <w:color w:val="f6b26b"/>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jamais / de temps en temps / le plus souvent / toujours</w:t>
      </w:r>
      <w:r w:rsidDel="00000000" w:rsidR="00000000" w:rsidRPr="00000000">
        <w:rPr>
          <w:rtl w:val="0"/>
        </w:rPr>
      </w:r>
    </w:p>
    <w:p w:rsidR="00000000" w:rsidDel="00000000" w:rsidP="00000000" w:rsidRDefault="00000000" w:rsidRPr="00000000" w14:paraId="0000001E">
      <w:pPr>
        <w:spacing w:after="120" w:line="276" w:lineRule="auto"/>
        <w:jc w:val="both"/>
        <w:rPr>
          <w:rFonts w:ascii="Calibri" w:cs="Calibri" w:eastAsia="Calibri" w:hAnsi="Calibri"/>
          <w:b w:val="0"/>
          <w:color w:val="f6b26b"/>
          <w:vertAlign w:val="baseline"/>
        </w:rPr>
      </w:pPr>
      <w:r w:rsidDel="00000000" w:rsidR="00000000" w:rsidRPr="00000000">
        <w:rPr>
          <w:rtl w:val="0"/>
        </w:rPr>
      </w:r>
    </w:p>
    <w:p w:rsidR="00000000" w:rsidDel="00000000" w:rsidP="00000000" w:rsidRDefault="00000000" w:rsidRPr="00000000" w14:paraId="0000001F">
      <w:pPr>
        <w:spacing w:after="120" w:line="276" w:lineRule="auto"/>
        <w:jc w:val="both"/>
        <w:rPr>
          <w:rFonts w:ascii="Calibri" w:cs="Calibri" w:eastAsia="Calibri" w:hAnsi="Calibri"/>
          <w:i w:val="0"/>
          <w:vertAlign w:val="baseline"/>
        </w:rPr>
      </w:pPr>
      <w:r w:rsidDel="00000000" w:rsidR="00000000" w:rsidRPr="00000000">
        <w:rPr>
          <w:rFonts w:ascii="Raleway" w:cs="Raleway" w:eastAsia="Raleway" w:hAnsi="Raleway"/>
          <w:color w:val="4396cb"/>
          <w:sz w:val="28"/>
          <w:szCs w:val="28"/>
          <w:rtl w:val="0"/>
        </w:rPr>
        <w:t xml:space="preserve">Changer</w:t>
      </w:r>
      <w:r w:rsidDel="00000000" w:rsidR="00000000" w:rsidRPr="00000000">
        <w:rPr>
          <w:rtl w:val="0"/>
        </w:rPr>
      </w:r>
    </w:p>
    <w:p w:rsidR="00000000" w:rsidDel="00000000" w:rsidP="00000000" w:rsidRDefault="00000000" w:rsidRPr="00000000" w14:paraId="00000020">
      <w:pPr>
        <w:spacing w:after="120" w:line="276" w:lineRule="auto"/>
        <w:jc w:val="both"/>
        <w:rPr>
          <w:rFonts w:ascii="Open Sans Light" w:cs="Open Sans Light" w:eastAsia="Open Sans Light" w:hAnsi="Open Sans Light"/>
          <w:color w:val="e06666"/>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réflexion autour du questionnaire a permis au groupe d’identifier ses réussites, mais aussi les points sur lesquels il pourrait faire quelques pas, sans rêver de changer toutes ses pratiques ou façons d’être, d’un seul coup. Avec les jeunes, le groupe peut identifier quelques points précis sur lesquels avancer pour commencer, en prenant le temps de se mettre bien d’accord  sur ce qu’il vise. Des animations de type « jeux cadre » peuvent aider à prendre ces décisions collectives (par exemple </w:t>
      </w:r>
      <w:hyperlink r:id="rId7">
        <w:r w:rsidDel="00000000" w:rsidR="00000000" w:rsidRPr="00000000">
          <w:rPr>
            <w:rFonts w:ascii="Open Sans Light" w:cs="Open Sans Light" w:eastAsia="Open Sans Light" w:hAnsi="Open Sans Light"/>
            <w:i w:val="1"/>
            <w:color w:val="0000ff"/>
            <w:sz w:val="20"/>
            <w:szCs w:val="20"/>
            <w:u w:val="single"/>
            <w:vertAlign w:val="baseline"/>
            <w:rtl w:val="0"/>
          </w:rPr>
          <w:t xml:space="preserve">le jeu de l'enveloppe,</w:t>
        </w:r>
      </w:hyperlink>
      <w:r w:rsidDel="00000000" w:rsidR="00000000" w:rsidRPr="00000000">
        <w:rPr>
          <w:rFonts w:ascii="Open Sans Light" w:cs="Open Sans Light" w:eastAsia="Open Sans Light" w:hAnsi="Open Sans Light"/>
          <w:i w:val="1"/>
          <w:sz w:val="20"/>
          <w:szCs w:val="20"/>
          <w:vertAlign w:val="baseline"/>
          <w:rtl w:val="0"/>
        </w:rPr>
        <w:t xml:space="preserve"> à tester au préalable pour être bien à l’aise le jour J). </w:t>
      </w: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Raleway" w:cs="Raleway" w:eastAsia="Raleway" w:hAnsi="Raleway"/>
          <w:color w:val="4396cb"/>
          <w:sz w:val="28"/>
          <w:szCs w:val="28"/>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Raleway" w:cs="Raleway" w:eastAsia="Raleway" w:hAnsi="Raleway"/>
          <w:color w:val="4396cb"/>
          <w:sz w:val="28"/>
          <w:szCs w:val="28"/>
          <w:rtl w:val="0"/>
        </w:rPr>
        <w:t xml:space="preserve">Nos engagements pour cette année</w:t>
      </w: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11"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z w:val="20"/>
          <w:szCs w:val="20"/>
          <w:rtl w:val="0"/>
        </w:rPr>
        <w:t xml:space="preserve">Après avoir défini les engagements du groupe pour l'année, il est important de préciser les étapes intermédiaires pour y arriver et moyens de réalisation, les personnes référentes (privilégier des binômes ou trinômes de responsable parmi les jeunes) ou impliquées, le calendrier... Les tableaux ci-dessous peuvent y aider.</w:t>
      </w: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1 :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r w:rsidDel="00000000" w:rsidR="00000000" w:rsidRPr="00000000">
        <w:rPr>
          <w:rtl w:val="0"/>
        </w:rPr>
      </w:r>
    </w:p>
    <w:tbl>
      <w:tblPr>
        <w:tblStyle w:val="Table1"/>
        <w:tblW w:w="9135.0" w:type="dxa"/>
        <w:jc w:val="left"/>
        <w:tblInd w:w="-45.0" w:type="dxa"/>
        <w:tblLayout w:type="fixed"/>
        <w:tblLook w:val="0000"/>
      </w:tblPr>
      <w:tblGrid>
        <w:gridCol w:w="3290"/>
        <w:gridCol w:w="1281"/>
        <w:gridCol w:w="1365"/>
        <w:gridCol w:w="1224"/>
        <w:gridCol w:w="1975"/>
        <w:tblGridChange w:id="0">
          <w:tblGrid>
            <w:gridCol w:w="3290"/>
            <w:gridCol w:w="1281"/>
            <w:gridCol w:w="1365"/>
            <w:gridCol w:w="1224"/>
            <w:gridCol w:w="197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6">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27">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8">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9">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A">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2B">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2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E">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2F">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0">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4">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5">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39">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A">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3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3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2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r w:rsidDel="00000000" w:rsidR="00000000" w:rsidRPr="00000000">
        <w:rPr>
          <w:rtl w:val="0"/>
        </w:rPr>
      </w:r>
    </w:p>
    <w:tbl>
      <w:tblPr>
        <w:tblStyle w:val="Table2"/>
        <w:tblW w:w="9135.0" w:type="dxa"/>
        <w:jc w:val="left"/>
        <w:tblInd w:w="-45.0" w:type="dxa"/>
        <w:tblLayout w:type="fixed"/>
        <w:tblLook w:val="0000"/>
      </w:tblPr>
      <w:tblGrid>
        <w:gridCol w:w="3290"/>
        <w:gridCol w:w="1281"/>
        <w:gridCol w:w="1365"/>
        <w:gridCol w:w="1224"/>
        <w:gridCol w:w="1975"/>
        <w:tblGridChange w:id="0">
          <w:tblGrid>
            <w:gridCol w:w="3290"/>
            <w:gridCol w:w="1281"/>
            <w:gridCol w:w="1365"/>
            <w:gridCol w:w="1224"/>
            <w:gridCol w:w="197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1">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42">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3">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4">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5">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6">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9">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A">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4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4E">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4F">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0">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54">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5">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5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Engagement 3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Le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r w:rsidDel="00000000" w:rsidR="00000000" w:rsidRPr="00000000">
        <w:rPr>
          <w:rtl w:val="0"/>
        </w:rPr>
      </w:r>
    </w:p>
    <w:tbl>
      <w:tblPr>
        <w:tblStyle w:val="Table3"/>
        <w:tblW w:w="9135.0" w:type="dxa"/>
        <w:jc w:val="left"/>
        <w:tblInd w:w="-45.0" w:type="dxa"/>
        <w:tblLayout w:type="fixed"/>
        <w:tblLook w:val="0000"/>
      </w:tblPr>
      <w:tblGrid>
        <w:gridCol w:w="3290"/>
        <w:gridCol w:w="1281"/>
        <w:gridCol w:w="1365"/>
        <w:gridCol w:w="1224"/>
        <w:gridCol w:w="1975"/>
        <w:tblGridChange w:id="0">
          <w:tblGrid>
            <w:gridCol w:w="3290"/>
            <w:gridCol w:w="1281"/>
            <w:gridCol w:w="1365"/>
            <w:gridCol w:w="1224"/>
            <w:gridCol w:w="197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C">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5D">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E">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5F">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0">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1">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4">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5">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9">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A">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6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6E">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6F">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0">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7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7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75">
      <w:pPr>
        <w:spacing w:after="120" w:line="276" w:lineRule="auto"/>
        <w:jc w:val="both"/>
        <w:rPr>
          <w:rFonts w:ascii="Calibri" w:cs="Calibri" w:eastAsia="Calibri" w:hAnsi="Calibri"/>
          <w:i w:val="0"/>
          <w:highlight w:val="green"/>
          <w:vertAlign w:val="baseline"/>
        </w:rPr>
      </w:pPr>
      <w:r w:rsidDel="00000000" w:rsidR="00000000" w:rsidRPr="00000000">
        <w:rPr>
          <w:rFonts w:ascii="Raleway" w:cs="Raleway" w:eastAsia="Raleway" w:hAnsi="Raleway"/>
          <w:color w:val="4396cb"/>
          <w:sz w:val="28"/>
          <w:szCs w:val="28"/>
          <w:rtl w:val="0"/>
        </w:rPr>
        <w:t xml:space="preserve">Partager</w:t>
      </w: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sz w:val="20"/>
          <w:szCs w:val="20"/>
        </w:rPr>
      </w:pPr>
      <w:r w:rsidDel="00000000" w:rsidR="00000000" w:rsidRPr="00000000">
        <w:rPr>
          <w:rFonts w:ascii="Open Sans Light" w:cs="Open Sans Light" w:eastAsia="Open Sans Light" w:hAnsi="Open Sans Light"/>
          <w:sz w:val="20"/>
          <w:szCs w:val="20"/>
          <w:rtl w:val="0"/>
        </w:rPr>
        <w:t xml:space="preserve">Qu’en est-il de la paroisse, de la communauté dans laquelle vous êtes insérés ?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Après avoir discuté avec les jeunes de ce qu’ils savent de ce que la paroisse réalise dans ce domaine, vous pouvez inviter le groupe à compléter ses connaissances en allant rencontrer </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la ou les personne(s) en charge des repas paroissiaux (lors des fêtes…).</w:t>
      </w:r>
      <w:r w:rsidDel="00000000" w:rsidR="00000000" w:rsidRPr="00000000">
        <w:rPr>
          <w:rtl w:val="0"/>
        </w:rPr>
      </w:r>
    </w:p>
    <w:p w:rsidR="00000000" w:rsidDel="00000000" w:rsidP="00000000" w:rsidRDefault="00000000" w:rsidRPr="00000000" w14:paraId="00000079">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Le but est d’obtenir les informations suivantes :</w:t>
      </w:r>
      <w:r w:rsidDel="00000000" w:rsidR="00000000" w:rsidRPr="00000000">
        <w:rPr>
          <w:rtl w:val="0"/>
        </w:rPr>
      </w:r>
    </w:p>
    <w:p w:rsidR="00000000" w:rsidDel="00000000" w:rsidP="00000000" w:rsidRDefault="00000000" w:rsidRPr="00000000" w14:paraId="0000007A">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Les repas organisés par la communauté contiennent-ils des produits bio, locaux, des alternatives à la viande ? Comment la paroisse s’approvisionne-t-elle lorsqu’elle organise des repas ? </w:t>
      </w:r>
      <w:r w:rsidDel="00000000" w:rsidR="00000000" w:rsidRPr="00000000">
        <w:rPr>
          <w:rtl w:val="0"/>
        </w:rPr>
      </w:r>
    </w:p>
    <w:p w:rsidR="00000000" w:rsidDel="00000000" w:rsidP="00000000" w:rsidRDefault="00000000" w:rsidRPr="00000000" w14:paraId="0000007B">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7C">
      <w:pPr>
        <w:spacing w:after="120" w:line="276" w:lineRule="auto"/>
        <w:jc w:val="both"/>
        <w:rPr>
          <w:rFonts w:ascii="Open Sans Light" w:cs="Open Sans Light" w:eastAsia="Open Sans Light" w:hAnsi="Open Sans Light"/>
          <w:i w:val="0"/>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La vaisselle utilisée est-elle réutilisable ? Les déchets alimentaires sont-ils triés, compostés ?</w:t>
      </w:r>
      <w:r w:rsidDel="00000000" w:rsidR="00000000" w:rsidRPr="00000000">
        <w:rPr>
          <w:rtl w:val="0"/>
        </w:rPr>
      </w:r>
    </w:p>
    <w:p w:rsidR="00000000" w:rsidDel="00000000" w:rsidP="00000000" w:rsidRDefault="00000000" w:rsidRPr="00000000" w14:paraId="0000007D">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i w:val="1"/>
          <w:sz w:val="20"/>
          <w:szCs w:val="20"/>
          <w:vertAlign w:val="baseline"/>
          <w:rtl w:val="0"/>
        </w:rPr>
        <w:t xml:space="preserve">….....................................................................................................................................................................................................................................................................................................................................................................................................................................................................................................................................................................................................................................................</w:t>
      </w:r>
      <w:r w:rsidDel="00000000" w:rsidR="00000000" w:rsidRPr="00000000">
        <w:rPr>
          <w:rtl w:val="0"/>
        </w:rPr>
      </w:r>
    </w:p>
    <w:p w:rsidR="00000000" w:rsidDel="00000000" w:rsidP="00000000" w:rsidRDefault="00000000" w:rsidRPr="00000000" w14:paraId="0000007E">
      <w:pPr>
        <w:spacing w:after="120" w:line="276" w:lineRule="auto"/>
        <w:jc w:val="both"/>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1"/>
          <w:i w:val="1"/>
          <w:smallCaps w:val="0"/>
          <w:strike w:val="0"/>
          <w:color w:val="000000"/>
          <w:sz w:val="20"/>
          <w:szCs w:val="20"/>
          <w:u w:val="none"/>
          <w:shd w:fill="auto" w:val="clear"/>
          <w:vertAlign w:val="baseline"/>
          <w:rtl w:val="0"/>
        </w:rPr>
        <w:t xml:space="preserve">Après cette enquête,</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 </w:t>
      </w:r>
      <w:r w:rsidDel="00000000" w:rsidR="00000000" w:rsidRPr="00000000">
        <w:rPr>
          <w:rFonts w:ascii="Open Sans Light" w:cs="Open Sans Light" w:eastAsia="Open Sans Light" w:hAnsi="Open Sans Light"/>
          <w:i w:val="1"/>
          <w:smallCaps w:val="0"/>
          <w:strike w:val="0"/>
          <w:color w:val="000000"/>
          <w:sz w:val="20"/>
          <w:szCs w:val="20"/>
          <w:u w:val="none"/>
          <w:shd w:fill="auto" w:val="clear"/>
          <w:vertAlign w:val="baseline"/>
          <w:rtl w:val="0"/>
        </w:rPr>
        <w:t xml:space="preserve">les jeunes pourront présenter leurs résultats, réflexions, propositions au Conseil paroissial / presbytéral, tout en offrant leur disponibilité pour aider l’ensemble de la paroisse à avancer. Ils pourront par exemple aider la paroisse à réfléchir à améliorer son dispositif de tri et à mettre en place un compost, à proposer des repas plus respectueux du rythme des saisons, aider à chercher des prestataires ou des producteurs locaux, utilisant le bio ou l’agriculture à Haute valeur environnementale.</w:t>
      </w:r>
      <w:r w:rsidDel="00000000" w:rsidR="00000000" w:rsidRPr="00000000">
        <w:rPr>
          <w:rtl w:val="0"/>
        </w:rPr>
      </w:r>
    </w:p>
    <w:p w:rsidR="00000000" w:rsidDel="00000000" w:rsidP="00000000" w:rsidRDefault="00000000" w:rsidRPr="00000000" w14:paraId="00000080">
      <w:pPr>
        <w:spacing w:after="120" w:line="276" w:lineRule="auto"/>
        <w:jc w:val="both"/>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Raleway" w:cs="Raleway" w:eastAsia="Raleway" w:hAnsi="Raleway"/>
          <w:color w:val="4396cb"/>
          <w:sz w:val="28"/>
          <w:szCs w:val="28"/>
          <w:rtl w:val="0"/>
        </w:rPr>
        <w:t xml:space="preserve">Nos pistes d’action pour cette année avec la paroisse</w:t>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1 :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r w:rsidDel="00000000" w:rsidR="00000000" w:rsidRPr="00000000">
        <w:rPr>
          <w:rtl w:val="0"/>
        </w:rPr>
      </w:r>
    </w:p>
    <w:tbl>
      <w:tblPr>
        <w:tblStyle w:val="Table4"/>
        <w:tblW w:w="9135.0" w:type="dxa"/>
        <w:jc w:val="left"/>
        <w:tblInd w:w="-45.0" w:type="dxa"/>
        <w:tblLayout w:type="fixed"/>
        <w:tblLook w:val="0000"/>
      </w:tblPr>
      <w:tblGrid>
        <w:gridCol w:w="3290"/>
        <w:gridCol w:w="1281"/>
        <w:gridCol w:w="1365"/>
        <w:gridCol w:w="1224"/>
        <w:gridCol w:w="1975"/>
        <w:tblGridChange w:id="0">
          <w:tblGrid>
            <w:gridCol w:w="3290"/>
            <w:gridCol w:w="1281"/>
            <w:gridCol w:w="1365"/>
            <w:gridCol w:w="1224"/>
            <w:gridCol w:w="197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5">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86">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7">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8">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9">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8A">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8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E">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8F">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0">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9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4">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5">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9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9">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A">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9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9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72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2 :</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r w:rsidDel="00000000" w:rsidR="00000000" w:rsidRPr="00000000">
        <w:rPr>
          <w:rtl w:val="0"/>
        </w:rPr>
      </w:r>
    </w:p>
    <w:tbl>
      <w:tblPr>
        <w:tblStyle w:val="Table5"/>
        <w:tblW w:w="9135.0" w:type="dxa"/>
        <w:jc w:val="left"/>
        <w:tblInd w:w="-45.0" w:type="dxa"/>
        <w:tblLayout w:type="fixed"/>
        <w:tblLook w:val="0000"/>
      </w:tblPr>
      <w:tblGrid>
        <w:gridCol w:w="3290"/>
        <w:gridCol w:w="1281"/>
        <w:gridCol w:w="1365"/>
        <w:gridCol w:w="1224"/>
        <w:gridCol w:w="1975"/>
        <w:tblGridChange w:id="0">
          <w:tblGrid>
            <w:gridCol w:w="3290"/>
            <w:gridCol w:w="1281"/>
            <w:gridCol w:w="1365"/>
            <w:gridCol w:w="1224"/>
            <w:gridCol w:w="197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0">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A1">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2">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3">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4">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5">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9">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A">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A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A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E">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AF">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0">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B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4">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5">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B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120" w:before="0" w:line="276" w:lineRule="auto"/>
        <w:ind w:left="720" w:right="0" w:hanging="360"/>
        <w:jc w:val="both"/>
        <w:rPr>
          <w:rFonts w:ascii="Open Sans" w:cs="Open Sans" w:eastAsia="Open Sans" w:hAnsi="Open Sans"/>
          <w:b w:val="1"/>
          <w:i w:val="0"/>
          <w:smallCaps w:val="0"/>
          <w:strike w:val="0"/>
          <w:shd w:fill="auto" w:val="clear"/>
          <w:vertAlign w:val="baseline"/>
        </w:rPr>
      </w:pPr>
      <w:r w:rsidDel="00000000" w:rsidR="00000000" w:rsidRPr="00000000">
        <w:rPr>
          <w:rFonts w:ascii="Open Sans" w:cs="Open Sans" w:eastAsia="Open Sans" w:hAnsi="Open Sans"/>
          <w:b w:val="1"/>
          <w:i w:val="0"/>
          <w:smallCaps w:val="0"/>
          <w:strike w:val="0"/>
          <w:sz w:val="20"/>
          <w:szCs w:val="20"/>
          <w:u w:val="none"/>
          <w:shd w:fill="auto" w:val="clear"/>
          <w:vertAlign w:val="baseline"/>
          <w:rtl w:val="0"/>
        </w:rPr>
        <w:t xml:space="preserve">Action n° 3 :</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left"/>
        <w:rPr>
          <w:rFonts w:ascii="Open Sans Light" w:cs="Open Sans Light" w:eastAsia="Open Sans Light" w:hAnsi="Open Sans Light"/>
          <w:i w:val="0"/>
          <w:smallCaps w:val="0"/>
          <w:strike w:val="0"/>
          <w:sz w:val="20"/>
          <w:szCs w:val="20"/>
          <w:u w:val="none"/>
          <w:shd w:fill="auto" w:val="clear"/>
          <w:vertAlign w:val="baseline"/>
        </w:rPr>
      </w:pPr>
      <w:r w:rsidDel="00000000" w:rsidR="00000000" w:rsidRPr="00000000">
        <w:rPr>
          <w:rFonts w:ascii="Open Sans Light" w:cs="Open Sans Light" w:eastAsia="Open Sans Light" w:hAnsi="Open Sans Light"/>
          <w:i w:val="1"/>
          <w:smallCaps w:val="0"/>
          <w:strike w:val="0"/>
          <w:sz w:val="20"/>
          <w:szCs w:val="20"/>
          <w:u w:val="none"/>
          <w:shd w:fill="auto" w:val="clear"/>
          <w:vertAlign w:val="baseline"/>
          <w:rtl w:val="0"/>
        </w:rPr>
        <w:t xml:space="preserve">La décrire le plus précisément possible :</w:t>
      </w:r>
      <w:r w:rsidDel="00000000" w:rsidR="00000000" w:rsidRPr="00000000">
        <w:rPr>
          <w:rFonts w:ascii="Open Sans Light" w:cs="Open Sans Light" w:eastAsia="Open Sans Light" w:hAnsi="Open Sans Light"/>
          <w:i w:val="0"/>
          <w:smallCaps w:val="0"/>
          <w:strike w:val="0"/>
          <w:sz w:val="20"/>
          <w:szCs w:val="20"/>
          <w:u w:val="none"/>
          <w:shd w:fill="auto" w:val="clear"/>
          <w:vertAlign w:val="baseline"/>
          <w:rtl w:val="0"/>
        </w:rPr>
        <w:t xml:space="preserve"> ………………………………………………………………………………………………………………………………………………………………………………………………………………………………………………………………………………………………………………………………………………………………………………………………………………………………………………………………………………………………………………………………………………………………………………………………</w:t>
      </w:r>
      <w:r w:rsidDel="00000000" w:rsidR="00000000" w:rsidRPr="00000000">
        <w:rPr>
          <w:rtl w:val="0"/>
        </w:rPr>
      </w:r>
    </w:p>
    <w:tbl>
      <w:tblPr>
        <w:tblStyle w:val="Table6"/>
        <w:tblW w:w="9135.0" w:type="dxa"/>
        <w:jc w:val="left"/>
        <w:tblInd w:w="-45.0" w:type="dxa"/>
        <w:tblLayout w:type="fixed"/>
        <w:tblLook w:val="0000"/>
      </w:tblPr>
      <w:tblGrid>
        <w:gridCol w:w="3290"/>
        <w:gridCol w:w="1281"/>
        <w:gridCol w:w="1365"/>
        <w:gridCol w:w="1224"/>
        <w:gridCol w:w="1975"/>
        <w:tblGridChange w:id="0">
          <w:tblGrid>
            <w:gridCol w:w="3290"/>
            <w:gridCol w:w="1281"/>
            <w:gridCol w:w="1365"/>
            <w:gridCol w:w="1224"/>
            <w:gridCol w:w="1975"/>
          </w:tblGrid>
        </w:tblGridChange>
      </w:tblGrid>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B">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Etape du projet/</w:t>
            </w:r>
          </w:p>
          <w:p w:rsidR="00000000" w:rsidDel="00000000" w:rsidP="00000000" w:rsidRDefault="00000000" w:rsidRPr="00000000" w14:paraId="000000BC">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Actions à mettre en place</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D">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référentes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E">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Personnes impliquées</w:t>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BF">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Echéance</w:t>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0">
            <w:pPr>
              <w:spacing w:after="120" w:line="276" w:lineRule="auto"/>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Commentaires (moyens nécessaires…)</w:t>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3">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4">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5">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6">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7">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8">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9">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A">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B">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CC">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r>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D">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p w:rsidR="00000000" w:rsidDel="00000000" w:rsidP="00000000" w:rsidRDefault="00000000" w:rsidRPr="00000000" w14:paraId="000000CE">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CF">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0">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ffffff" w:val="clear"/>
            <w:vAlign w:val="top"/>
          </w:tcPr>
          <w:p w:rsidR="00000000" w:rsidDel="00000000" w:rsidP="00000000" w:rsidRDefault="00000000" w:rsidRPr="00000000" w14:paraId="000000D1">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vAlign w:val="top"/>
          </w:tcPr>
          <w:p w:rsidR="00000000" w:rsidDel="00000000" w:rsidP="00000000" w:rsidRDefault="00000000" w:rsidRPr="00000000" w14:paraId="000000D2">
            <w:pPr>
              <w:spacing w:after="120" w:line="276" w:lineRule="auto"/>
              <w:rPr>
                <w:rFonts w:ascii="Open Sans Light" w:cs="Open Sans Light" w:eastAsia="Open Sans Light" w:hAnsi="Open Sans Light"/>
                <w:sz w:val="20"/>
                <w:szCs w:val="20"/>
                <w:vertAlign w:val="baseline"/>
              </w:rPr>
            </w:pPr>
            <w:r w:rsidDel="00000000" w:rsidR="00000000" w:rsidRPr="00000000">
              <w:rPr>
                <w:rtl w:val="0"/>
              </w:rPr>
            </w:r>
          </w:p>
        </w:tc>
      </w:tr>
    </w:tbl>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Calibri" w:cs="Calibri" w:eastAsia="Calibri" w:hAnsi="Calibri"/>
          <w:b w:val="0"/>
          <w:i w:val="0"/>
          <w:smallCaps w:val="0"/>
          <w:strike w:val="0"/>
          <w:color w:val="99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Open Sans Light" w:cs="Open Sans Light" w:eastAsia="Open Sans Light" w:hAnsi="Open Sans Light"/>
          <w:i w:val="0"/>
          <w:smallCaps w:val="0"/>
          <w:strike w:val="0"/>
          <w:color w:val="000000"/>
          <w:sz w:val="20"/>
          <w:szCs w:val="20"/>
          <w:u w:val="none"/>
          <w:shd w:fill="auto" w:val="clear"/>
          <w:vertAlign w:val="baseline"/>
        </w:rPr>
      </w:pPr>
      <w:r w:rsidDel="00000000" w:rsidR="00000000" w:rsidRPr="00000000">
        <w:rPr>
          <w:rFonts w:ascii="Raleway" w:cs="Raleway" w:eastAsia="Raleway" w:hAnsi="Raleway"/>
          <w:color w:val="4396cb"/>
          <w:sz w:val="28"/>
          <w:szCs w:val="28"/>
          <w:rtl w:val="0"/>
        </w:rPr>
        <w:t xml:space="preserve">Des ressources </w:t>
      </w:r>
      <w:r w:rsidDel="00000000" w:rsidR="00000000" w:rsidRPr="00000000">
        <w:rPr>
          <w:rtl w:val="0"/>
        </w:rPr>
      </w:r>
    </w:p>
    <w:p w:rsidR="00000000" w:rsidDel="00000000" w:rsidP="00000000" w:rsidRDefault="00000000" w:rsidRPr="00000000" w14:paraId="000000D6">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8">
        <w:r w:rsidDel="00000000" w:rsidR="00000000" w:rsidRPr="00000000">
          <w:rPr>
            <w:rFonts w:ascii="Open Sans Light" w:cs="Open Sans Light" w:eastAsia="Open Sans Light" w:hAnsi="Open Sans Light"/>
            <w:color w:val="0000ff"/>
            <w:sz w:val="20"/>
            <w:szCs w:val="20"/>
            <w:u w:val="single"/>
            <w:vertAlign w:val="baseline"/>
            <w:rtl w:val="0"/>
          </w:rPr>
          <w:t xml:space="preserve">Fiches pédagogiques</w:t>
        </w:r>
      </w:hyperlink>
      <w:r w:rsidDel="00000000" w:rsidR="00000000" w:rsidRPr="00000000">
        <w:rPr>
          <w:rFonts w:ascii="Open Sans Light" w:cs="Open Sans Light" w:eastAsia="Open Sans Light" w:hAnsi="Open Sans Light"/>
          <w:sz w:val="20"/>
          <w:szCs w:val="20"/>
          <w:vertAlign w:val="baseline"/>
          <w:rtl w:val="0"/>
        </w:rPr>
        <w:t xml:space="preserve"> de l'ONG belge d'éducation à l'environnement “Drôle de planète” sur les questions d'alimentation durable (12-14 ans et 14-18 ans) </w:t>
      </w:r>
    </w:p>
    <w:p w:rsidR="00000000" w:rsidDel="00000000" w:rsidP="00000000" w:rsidRDefault="00000000" w:rsidRPr="00000000" w14:paraId="000000D7">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9">
        <w:r w:rsidDel="00000000" w:rsidR="00000000" w:rsidRPr="00000000">
          <w:rPr>
            <w:rFonts w:ascii="Open Sans Light" w:cs="Open Sans Light" w:eastAsia="Open Sans Light" w:hAnsi="Open Sans Light"/>
            <w:color w:val="0000ff"/>
            <w:sz w:val="20"/>
            <w:szCs w:val="20"/>
            <w:u w:val="single"/>
            <w:vertAlign w:val="baseline"/>
            <w:rtl w:val="0"/>
          </w:rPr>
          <w:t xml:space="preserve">Infographie sur le gaspillage alimentaire</w:t>
        </w:r>
      </w:hyperlink>
      <w:r w:rsidDel="00000000" w:rsidR="00000000" w:rsidRPr="00000000">
        <w:rPr>
          <w:rFonts w:ascii="Open Sans Light" w:cs="Open Sans Light" w:eastAsia="Open Sans Light" w:hAnsi="Open Sans Light"/>
          <w:color w:val="1155cc"/>
          <w:sz w:val="20"/>
          <w:szCs w:val="20"/>
          <w:u w:val="single"/>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sur le site de l’Ademe</w:t>
      </w:r>
    </w:p>
    <w:p w:rsidR="00000000" w:rsidDel="00000000" w:rsidP="00000000" w:rsidRDefault="00000000" w:rsidRPr="00000000" w14:paraId="000000D8">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10">
        <w:r w:rsidDel="00000000" w:rsidR="00000000" w:rsidRPr="00000000">
          <w:rPr>
            <w:rFonts w:ascii="Open Sans Light" w:cs="Open Sans Light" w:eastAsia="Open Sans Light" w:hAnsi="Open Sans Light"/>
            <w:color w:val="0000ff"/>
            <w:sz w:val="20"/>
            <w:szCs w:val="20"/>
            <w:u w:val="single"/>
            <w:vertAlign w:val="baseline"/>
            <w:rtl w:val="0"/>
          </w:rPr>
          <w:t xml:space="preserve">Jeu alimen’terre</w:t>
        </w:r>
      </w:hyperlink>
      <w:r w:rsidDel="00000000" w:rsidR="00000000" w:rsidRPr="00000000">
        <w:rPr>
          <w:rFonts w:ascii="Open Sans Light" w:cs="Open Sans Light" w:eastAsia="Open Sans Light" w:hAnsi="Open Sans Light"/>
          <w:color w:val="0000ff"/>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pour sensibiliser les jeunes à l’impact environnemental de l’alimentation (jeu d'une heure, pour les 8-11 ou 11-14 ans), proposé par les Scouts et Guides de France</w:t>
      </w:r>
    </w:p>
    <w:p w:rsidR="00000000" w:rsidDel="00000000" w:rsidP="00000000" w:rsidRDefault="00000000" w:rsidRPr="00000000" w14:paraId="000000D9">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w:t>
      </w:r>
      <w:hyperlink r:id="rId11">
        <w:r w:rsidDel="00000000" w:rsidR="00000000" w:rsidRPr="00000000">
          <w:rPr>
            <w:rFonts w:ascii="Open Sans Light" w:cs="Open Sans Light" w:eastAsia="Open Sans Light" w:hAnsi="Open Sans Light"/>
            <w:color w:val="0000ff"/>
            <w:sz w:val="20"/>
            <w:szCs w:val="20"/>
            <w:u w:val="single"/>
            <w:vertAlign w:val="baseline"/>
            <w:rtl w:val="0"/>
          </w:rPr>
          <w:t xml:space="preserve">Guide de l’intendant</w:t>
        </w:r>
      </w:hyperlink>
      <w:r w:rsidDel="00000000" w:rsidR="00000000" w:rsidRPr="00000000">
        <w:rPr>
          <w:rFonts w:ascii="Open Sans Light" w:cs="Open Sans Light" w:eastAsia="Open Sans Light" w:hAnsi="Open Sans Light"/>
          <w:color w:val="1155cc"/>
          <w:sz w:val="20"/>
          <w:szCs w:val="20"/>
          <w:u w:val="single"/>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et</w:t>
      </w:r>
      <w:hyperlink r:id="rId12">
        <w:r w:rsidDel="00000000" w:rsidR="00000000" w:rsidRPr="00000000">
          <w:rPr>
            <w:rFonts w:ascii="Open Sans Light" w:cs="Open Sans Light" w:eastAsia="Open Sans Light" w:hAnsi="Open Sans Light"/>
            <w:color w:val="0000ff"/>
            <w:sz w:val="20"/>
            <w:szCs w:val="20"/>
            <w:u w:val="single"/>
            <w:vertAlign w:val="baseline"/>
            <w:rtl w:val="0"/>
          </w:rPr>
          <w:t xml:space="preserve"> Conseils pour l’intendance d’un événement</w:t>
        </w:r>
      </w:hyperlink>
      <w:r w:rsidDel="00000000" w:rsidR="00000000" w:rsidRPr="00000000">
        <w:rPr>
          <w:rFonts w:ascii="Open Sans Light" w:cs="Open Sans Light" w:eastAsia="Open Sans Light" w:hAnsi="Open Sans Light"/>
          <w:color w:val="0000ff"/>
          <w:sz w:val="20"/>
          <w:szCs w:val="20"/>
          <w:u w:val="single"/>
          <w:vertAlign w:val="baseline"/>
          <w:rtl w:val="0"/>
        </w:rPr>
        <w:t xml:space="preserve"> </w:t>
      </w:r>
      <w:r w:rsidDel="00000000" w:rsidR="00000000" w:rsidRPr="00000000">
        <w:rPr>
          <w:rFonts w:ascii="Open Sans Light" w:cs="Open Sans Light" w:eastAsia="Open Sans Light" w:hAnsi="Open Sans Light"/>
          <w:color w:val="2c3b4e"/>
          <w:sz w:val="20"/>
          <w:szCs w:val="20"/>
          <w:u w:val="single"/>
          <w:vertAlign w:val="baseline"/>
          <w:rtl w:val="0"/>
        </w:rPr>
        <w:t xml:space="preserve">d</w:t>
      </w:r>
      <w:r w:rsidDel="00000000" w:rsidR="00000000" w:rsidRPr="00000000">
        <w:rPr>
          <w:rFonts w:ascii="Open Sans Light" w:cs="Open Sans Light" w:eastAsia="Open Sans Light" w:hAnsi="Open Sans Light"/>
          <w:sz w:val="20"/>
          <w:szCs w:val="20"/>
          <w:vertAlign w:val="baseline"/>
          <w:rtl w:val="0"/>
        </w:rPr>
        <w:t xml:space="preserve">es Scouts et Guides de France</w:t>
      </w:r>
    </w:p>
    <w:p w:rsidR="00000000" w:rsidDel="00000000" w:rsidP="00000000" w:rsidRDefault="00000000" w:rsidRPr="00000000" w14:paraId="000000DA">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partie Alimentation du </w:t>
      </w:r>
      <w:hyperlink r:id="rId13">
        <w:r w:rsidDel="00000000" w:rsidR="00000000" w:rsidRPr="00000000">
          <w:rPr>
            <w:rFonts w:ascii="Open Sans Light" w:cs="Open Sans Light" w:eastAsia="Open Sans Light" w:hAnsi="Open Sans Light"/>
            <w:color w:val="0000ff"/>
            <w:sz w:val="20"/>
            <w:szCs w:val="20"/>
            <w:u w:val="single"/>
            <w:vertAlign w:val="baseline"/>
            <w:rtl w:val="0"/>
          </w:rPr>
          <w:t xml:space="preserve">kit de conversion écologique</w:t>
        </w:r>
      </w:hyperlink>
      <w:r w:rsidDel="00000000" w:rsidR="00000000" w:rsidRPr="00000000">
        <w:rPr>
          <w:rFonts w:ascii="Open Sans Light" w:cs="Open Sans Light" w:eastAsia="Open Sans Light" w:hAnsi="Open Sans Light"/>
          <w:sz w:val="20"/>
          <w:szCs w:val="20"/>
          <w:vertAlign w:val="baseline"/>
          <w:rtl w:val="0"/>
        </w:rPr>
        <w:t xml:space="preserve"> des Scouts et Guides de France (p 37 à 48)</w:t>
      </w:r>
    </w:p>
    <w:p w:rsidR="00000000" w:rsidDel="00000000" w:rsidP="00000000" w:rsidRDefault="00000000" w:rsidRPr="00000000" w14:paraId="000000DB">
      <w:pPr>
        <w:spacing w:after="120" w:line="276" w:lineRule="auto"/>
        <w:jc w:val="both"/>
        <w:rPr>
          <w:rFonts w:ascii="Open Sans Light" w:cs="Open Sans Light" w:eastAsia="Open Sans Light" w:hAnsi="Open Sans Light"/>
          <w:sz w:val="20"/>
          <w:szCs w:val="20"/>
          <w:vertAlign w:val="baseline"/>
        </w:rPr>
      </w:pPr>
      <w:r w:rsidDel="00000000" w:rsidR="00000000" w:rsidRPr="00000000">
        <w:rPr>
          <w:rFonts w:ascii="Open Sans Light" w:cs="Open Sans Light" w:eastAsia="Open Sans Light" w:hAnsi="Open Sans Light"/>
          <w:sz w:val="20"/>
          <w:szCs w:val="20"/>
          <w:vertAlign w:val="baseline"/>
          <w:rtl w:val="0"/>
        </w:rPr>
        <w:t xml:space="preserve">- La </w:t>
      </w:r>
      <w:hyperlink r:id="rId14">
        <w:r w:rsidDel="00000000" w:rsidR="00000000" w:rsidRPr="00000000">
          <w:rPr>
            <w:rFonts w:ascii="Open Sans Light" w:cs="Open Sans Light" w:eastAsia="Open Sans Light" w:hAnsi="Open Sans Light"/>
            <w:color w:val="0000ff"/>
            <w:sz w:val="20"/>
            <w:szCs w:val="20"/>
            <w:u w:val="single"/>
            <w:vertAlign w:val="baseline"/>
            <w:rtl w:val="0"/>
          </w:rPr>
          <w:t xml:space="preserve">journée toquée</w:t>
        </w:r>
      </w:hyperlink>
      <w:r w:rsidDel="00000000" w:rsidR="00000000" w:rsidRPr="00000000">
        <w:rPr>
          <w:rFonts w:ascii="Open Sans Light" w:cs="Open Sans Light" w:eastAsia="Open Sans Light" w:hAnsi="Open Sans Light"/>
          <w:color w:val="0000ff"/>
          <w:sz w:val="20"/>
          <w:szCs w:val="20"/>
          <w:vertAlign w:val="baseline"/>
          <w:rtl w:val="0"/>
        </w:rPr>
        <w:t xml:space="preserve"> </w:t>
      </w:r>
      <w:r w:rsidDel="00000000" w:rsidR="00000000" w:rsidRPr="00000000">
        <w:rPr>
          <w:rFonts w:ascii="Open Sans Light" w:cs="Open Sans Light" w:eastAsia="Open Sans Light" w:hAnsi="Open Sans Light"/>
          <w:sz w:val="20"/>
          <w:szCs w:val="20"/>
          <w:vertAlign w:val="baseline"/>
          <w:rtl w:val="0"/>
        </w:rPr>
        <w:t xml:space="preserve">(kit présentant un ensemble d'activités, jeux et fiches techniques pour réfléchir sur la production, l'achat, la transformation et la consommation alimentaire) et le </w:t>
      </w:r>
      <w:hyperlink r:id="rId15">
        <w:r w:rsidDel="00000000" w:rsidR="00000000" w:rsidRPr="00000000">
          <w:rPr>
            <w:rFonts w:ascii="Open Sans Light" w:cs="Open Sans Light" w:eastAsia="Open Sans Light" w:hAnsi="Open Sans Light"/>
            <w:color w:val="0000ff"/>
            <w:sz w:val="20"/>
            <w:szCs w:val="20"/>
            <w:u w:val="single"/>
            <w:vertAlign w:val="baseline"/>
            <w:rtl w:val="0"/>
          </w:rPr>
          <w:t xml:space="preserve">calendrier des Fruits et légumes de saison</w:t>
        </w:r>
      </w:hyperlink>
      <w:r w:rsidDel="00000000" w:rsidR="00000000" w:rsidRPr="00000000">
        <w:rPr>
          <w:rFonts w:ascii="Open Sans Light" w:cs="Open Sans Light" w:eastAsia="Open Sans Light" w:hAnsi="Open Sans Light"/>
          <w:sz w:val="20"/>
          <w:szCs w:val="20"/>
          <w:vertAlign w:val="baseline"/>
          <w:rtl w:val="0"/>
        </w:rPr>
        <w:t xml:space="preserve"> des Éclaireuses et Éclaireurs unionistes de France</w:t>
      </w:r>
    </w:p>
    <w:p w:rsidR="00000000" w:rsidDel="00000000" w:rsidP="00000000" w:rsidRDefault="00000000" w:rsidRPr="00000000" w14:paraId="000000DC">
      <w:pPr>
        <w:spacing w:after="120" w:line="276" w:lineRule="auto"/>
        <w:jc w:val="both"/>
        <w:rPr>
          <w:rFonts w:ascii="Calibri" w:cs="Calibri" w:eastAsia="Calibri" w:hAnsi="Calibri"/>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Ralew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widowControl w:val="0"/>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fr-FR"/>
    </w:rPr>
  </w:style>
  <w:style w:type="character" w:styleId="Policepardéfaut">
    <w:name w:val="Police par défaut"/>
    <w:next w:val="Policepardéfaut"/>
    <w:autoRedefine w:val="0"/>
    <w:hidden w:val="0"/>
    <w:qFormat w:val="1"/>
    <w:rPr>
      <w:w w:val="100"/>
      <w:position w:val="-1"/>
      <w:effect w:val="none"/>
      <w:vertAlign w:val="baseline"/>
      <w:cs w:val="0"/>
      <w:em w:val="none"/>
      <w:lang/>
    </w:rPr>
  </w:style>
  <w:style w:type="table" w:styleId="TableauNormal">
    <w:name w:val="Tableau Normal"/>
    <w:next w:val="Tableau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auNormal"/>
      <w:jc w:val="left"/>
      <w:tblInd w:w="0.0" w:type="dxa"/>
      <w:tblCellMar>
        <w:top w:w="0.0" w:type="dxa"/>
        <w:left w:w="108.0" w:type="dxa"/>
        <w:bottom w:w="0.0" w:type="dxa"/>
        <w:right w:w="108.0" w:type="dxa"/>
      </w:tblCellMar>
    </w:tblPr>
  </w:style>
  <w:style w:type="numbering" w:styleId="Aucuneliste">
    <w:name w:val="Aucune liste"/>
    <w:next w:val="Aucuneliste"/>
    <w:autoRedefine w:val="0"/>
    <w:hidden w:val="0"/>
    <w:qFormat w:val="1"/>
    <w:pPr>
      <w:suppressAutoHyphens w:val="1"/>
      <w:spacing w:line="1" w:lineRule="atLeast"/>
      <w:ind w:leftChars="-1" w:rightChars="0" w:firstLineChars="-1"/>
      <w:textDirection w:val="btLr"/>
      <w:textAlignment w:val="top"/>
      <w:outlineLvl w:val="0"/>
    </w:p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7z0">
    <w:name w:val="WW8Num7z0"/>
    <w:next w:val="WW8Num7z0"/>
    <w:autoRedefine w:val="0"/>
    <w:hidden w:val="0"/>
    <w:qFormat w:val="0"/>
    <w:rPr>
      <w:rFonts w:ascii="Noto Sans Symbols" w:cs="Noto Sans Symbols" w:hAnsi="Noto Sans Symbols"/>
      <w:color w:val="e06666"/>
      <w:w w:val="100"/>
      <w:position w:val="-1"/>
      <w:sz w:val="24"/>
      <w:szCs w:val="24"/>
      <w:u w:val="none"/>
      <w:effect w:val="none"/>
      <w:vertAlign w:val="baseline"/>
      <w:cs w:val="0"/>
      <w:em w:val="none"/>
      <w:lang/>
    </w:rPr>
  </w:style>
  <w:style w:type="character" w:styleId="WW8Num4z0">
    <w:name w:val="WW8Num4z0"/>
    <w:next w:val="WW8Num4z0"/>
    <w:autoRedefine w:val="0"/>
    <w:hidden w:val="0"/>
    <w:qFormat w:val="0"/>
    <w:rPr>
      <w:rFonts w:ascii="Noto Sans Symbols" w:cs="Noto Sans Symbols" w:hAnsi="Noto Sans Symbols"/>
      <w:w w:val="100"/>
      <w:position w:val="-1"/>
      <w:u w:val="none"/>
      <w:effect w:val="none"/>
      <w:vertAlign w:val="baseline"/>
      <w:cs w:val="0"/>
      <w:em w:val="none"/>
      <w:lang/>
    </w:rPr>
  </w:style>
  <w:style w:type="character" w:styleId="WW8Num2z0">
    <w:name w:val="WW8Num2z0"/>
    <w:next w:val="WW8Num2z0"/>
    <w:autoRedefine w:val="0"/>
    <w:hidden w:val="0"/>
    <w:qFormat w:val="0"/>
    <w:rPr>
      <w:rFonts w:ascii="Noto Sans Symbols" w:cs="Noto Sans Symbols" w:hAnsi="Noto Sans Symbols"/>
      <w:w w:val="100"/>
      <w:position w:val="-1"/>
      <w:u w:val="none"/>
      <w:effect w:val="none"/>
      <w:vertAlign w:val="baseline"/>
      <w:cs w:val="0"/>
      <w:em w:val="none"/>
      <w:lang/>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character" w:styleId="Lienhypertexte">
    <w:name w:val="Lien hypertexte"/>
    <w:next w:val="Lienhypertexte"/>
    <w:autoRedefine w:val="0"/>
    <w:hidden w:val="0"/>
    <w:qFormat w:val="0"/>
    <w:rPr>
      <w:color w:val="0000ff"/>
      <w:w w:val="100"/>
      <w:position w:val="-1"/>
      <w:u w:val="single"/>
      <w:effect w:val="none"/>
      <w:vertAlign w:val="baseline"/>
      <w:cs w:val="0"/>
      <w:em w:val="none"/>
      <w:lang w:bidi="und" w:eastAsia="und" w:val="und"/>
    </w:rPr>
  </w:style>
  <w:style w:type="character" w:styleId="Lienhypertextesuivivisité">
    <w:name w:val="Lien hypertexte suivi visité"/>
    <w:next w:val="Lienhypertextesuivivisité"/>
    <w:autoRedefine w:val="0"/>
    <w:hidden w:val="0"/>
    <w:qFormat w:val="0"/>
    <w:rPr>
      <w:color w:val="800000"/>
      <w:w w:val="100"/>
      <w:position w:val="-1"/>
      <w:u w:val="single"/>
      <w:effect w:val="none"/>
      <w:vertAlign w:val="baseline"/>
      <w:cs w:val="0"/>
      <w:em w:val="none"/>
      <w:lang w:bidi="und" w:eastAsia="und" w:val="und"/>
    </w:rPr>
  </w:style>
  <w:style w:type="character" w:styleId="WW8Num3z0">
    <w:name w:val="WW8Num3z0"/>
    <w:next w:val="WW8Num3z0"/>
    <w:autoRedefine w:val="0"/>
    <w:hidden w:val="0"/>
    <w:qFormat w:val="0"/>
    <w:rPr>
      <w:rFonts w:ascii="Symbol" w:cs="Symbol" w:hAnsi="Symbol"/>
      <w:w w:val="100"/>
      <w:position w:val="-1"/>
      <w:sz w:val="20"/>
      <w:effect w:val="none"/>
      <w:vertAlign w:val="baseline"/>
      <w:cs w:val="0"/>
      <w:em w:val="none"/>
      <w:lang/>
    </w:rPr>
  </w:style>
  <w:style w:type="character" w:styleId="WW8Num3z1">
    <w:name w:val="WW8Num3z1"/>
    <w:next w:val="WW8Num3z1"/>
    <w:autoRedefine w:val="0"/>
    <w:hidden w:val="0"/>
    <w:qFormat w:val="0"/>
    <w:rPr>
      <w:rFonts w:ascii="Courier New" w:cs="Courier New" w:hAnsi="Courier New"/>
      <w:w w:val="100"/>
      <w:position w:val="-1"/>
      <w:sz w:val="20"/>
      <w:effect w:val="none"/>
      <w:vertAlign w:val="baseline"/>
      <w:cs w:val="0"/>
      <w:em w:val="none"/>
      <w:lang/>
    </w:rPr>
  </w:style>
  <w:style w:type="character" w:styleId="WW8Num3z2">
    <w:name w:val="WW8Num3z2"/>
    <w:next w:val="WW8Num3z2"/>
    <w:autoRedefine w:val="0"/>
    <w:hidden w:val="0"/>
    <w:qFormat w:val="0"/>
    <w:rPr>
      <w:rFonts w:ascii="Wingdings" w:cs="Wingdings" w:hAnsi="Wingdings"/>
      <w:w w:val="100"/>
      <w:position w:val="-1"/>
      <w:sz w:val="20"/>
      <w:effect w:val="none"/>
      <w:vertAlign w:val="baseline"/>
      <w:cs w:val="0"/>
      <w:em w:val="none"/>
      <w:lang/>
    </w:rPr>
  </w:style>
  <w:style w:type="paragraph" w:styleId="Titre1">
    <w:name w:val="Titre1"/>
    <w:basedOn w:val="Normal"/>
    <w:next w:val="Corpsdetexte"/>
    <w:autoRedefine w:val="0"/>
    <w:hidden w:val="0"/>
    <w:qFormat w:val="0"/>
    <w:pPr>
      <w:keepNext w:val="1"/>
      <w:widowControl w:val="0"/>
      <w:suppressAutoHyphens w:val="0"/>
      <w:spacing w:after="120" w:before="240" w:line="1" w:lineRule="atLeast"/>
      <w:ind w:leftChars="-1" w:rightChars="0" w:firstLineChars="-1"/>
      <w:textDirection w:val="btLr"/>
      <w:textAlignment w:val="top"/>
      <w:outlineLvl w:val="0"/>
    </w:pPr>
    <w:rPr>
      <w:rFonts w:ascii="Arial" w:cs="Arial" w:eastAsia="Microsoft YaHei" w:hAnsi="Arial"/>
      <w:w w:val="100"/>
      <w:kern w:val="1"/>
      <w:position w:val="-1"/>
      <w:sz w:val="28"/>
      <w:szCs w:val="28"/>
      <w:effect w:val="none"/>
      <w:vertAlign w:val="baseline"/>
      <w:cs w:val="0"/>
      <w:em w:val="none"/>
      <w:lang w:bidi="hi-IN" w:eastAsia="hi-IN" w:val="fr-FR"/>
    </w:rPr>
  </w:style>
  <w:style w:type="paragraph" w:styleId="Corpsdetexte">
    <w:name w:val="Corps de texte"/>
    <w:basedOn w:val="Normal"/>
    <w:next w:val="Corpsdetexte"/>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fr-FR"/>
    </w:rPr>
  </w:style>
  <w:style w:type="paragraph" w:styleId="Liste">
    <w:name w:val="Liste"/>
    <w:basedOn w:val="Corpsdetexte"/>
    <w:next w:val="Liste"/>
    <w:autoRedefine w:val="0"/>
    <w:hidden w:val="0"/>
    <w:qFormat w:val="0"/>
    <w:pPr>
      <w:widowControl w:val="0"/>
      <w:suppressAutoHyphens w:val="0"/>
      <w:spacing w:after="120" w:before="0"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fr-FR"/>
    </w:rPr>
  </w:style>
  <w:style w:type="paragraph" w:styleId="Légende1">
    <w:name w:val="Légende1"/>
    <w:basedOn w:val="Normal"/>
    <w:next w:val="Légende1"/>
    <w:autoRedefine w:val="0"/>
    <w:hidden w:val="0"/>
    <w:qFormat w:val="0"/>
    <w:pPr>
      <w:widowControl w:val="0"/>
      <w:suppressLineNumbers w:val="1"/>
      <w:suppressAutoHyphens w:val="0"/>
      <w:spacing w:after="120" w:before="120" w:line="1" w:lineRule="atLeast"/>
      <w:ind w:leftChars="-1" w:rightChars="0" w:firstLineChars="-1"/>
      <w:textDirection w:val="btLr"/>
      <w:textAlignment w:val="top"/>
      <w:outlineLvl w:val="0"/>
    </w:pPr>
    <w:rPr>
      <w:i w:val="1"/>
      <w:iCs w:val="1"/>
      <w:w w:val="100"/>
      <w:kern w:val="1"/>
      <w:position w:val="-1"/>
      <w:sz w:val="24"/>
      <w:szCs w:val="24"/>
      <w:effect w:val="none"/>
      <w:vertAlign w:val="baseline"/>
      <w:cs w:val="0"/>
      <w:em w:val="none"/>
      <w:lang w:bidi="hi-IN" w:eastAsia="hi-IN" w:val="fr-FR"/>
    </w:rPr>
  </w:style>
  <w:style w:type="paragraph" w:styleId="Index">
    <w:name w:val="Index"/>
    <w:basedOn w:val="Normal"/>
    <w:next w:val="Index"/>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fr-FR"/>
    </w:rPr>
  </w:style>
  <w:style w:type="paragraph" w:styleId="Normal(Web)">
    <w:name w:val="Normal (Web)"/>
    <w:basedOn w:val="Normal"/>
    <w:next w:val="Normal(Web)"/>
    <w:autoRedefine w:val="0"/>
    <w:hidden w:val="0"/>
    <w:qFormat w:val="0"/>
    <w:pPr>
      <w:widowControl w:val="0"/>
      <w:suppressAutoHyphens w:val="0"/>
      <w:spacing w:after="119" w:before="280" w:line="100" w:lineRule="atLeast"/>
      <w:ind w:leftChars="-1" w:rightChars="0" w:firstLineChars="-1"/>
      <w:textDirection w:val="btLr"/>
      <w:textAlignment w:val="top"/>
      <w:outlineLvl w:val="0"/>
    </w:pPr>
    <w:rPr>
      <w:rFonts w:ascii="Times New Roman" w:cs="Times New Roman" w:eastAsia="Times New Roman" w:hAnsi="Times New Roman"/>
      <w:w w:val="100"/>
      <w:kern w:val="1"/>
      <w:position w:val="-1"/>
      <w:sz w:val="24"/>
      <w:szCs w:val="24"/>
      <w:effect w:val="none"/>
      <w:vertAlign w:val="baseline"/>
      <w:cs w:val="0"/>
      <w:em w:val="none"/>
      <w:lang w:bidi="hi-IN" w:eastAsia="hi-IN" w:val="fr-FR"/>
    </w:rPr>
  </w:style>
  <w:style w:type="paragraph" w:styleId="Contenudetableau">
    <w:name w:val="Contenu de tableau"/>
    <w:basedOn w:val="Normal"/>
    <w:next w:val="Contenudetableau"/>
    <w:autoRedefine w:val="0"/>
    <w:hidden w:val="0"/>
    <w:qFormat w:val="0"/>
    <w:pPr>
      <w:widowControl w:val="0"/>
      <w:suppressLineNumbers w:val="1"/>
      <w:suppressAutoHyphens w:val="0"/>
      <w:spacing w:line="1" w:lineRule="atLeast"/>
      <w:ind w:leftChars="-1" w:rightChars="0" w:firstLineChars="-1"/>
      <w:textDirection w:val="btLr"/>
      <w:textAlignment w:val="top"/>
      <w:outlineLvl w:val="0"/>
    </w:pPr>
    <w:rPr>
      <w:w w:val="100"/>
      <w:kern w:val="1"/>
      <w:position w:val="-1"/>
      <w:sz w:val="24"/>
      <w:szCs w:val="24"/>
      <w:effect w:val="none"/>
      <w:vertAlign w:val="baseline"/>
      <w:cs w:val="0"/>
      <w:em w:val="none"/>
      <w:lang w:bidi="hi-IN" w:eastAsia="hi-IN" w:val="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5.0" w:type="dxa"/>
        <w:left w:w="105.0" w:type="dxa"/>
        <w:bottom w:w="105.0" w:type="dxa"/>
        <w:right w:w="105.0" w:type="dxa"/>
      </w:tblCellMar>
    </w:tblPr>
  </w:style>
  <w:style w:type="table" w:styleId="Table2">
    <w:basedOn w:val="TableNormal"/>
    <w:tblPr>
      <w:tblStyleRowBandSize w:val="1"/>
      <w:tblStyleColBandSize w:val="1"/>
      <w:tblCellMar>
        <w:top w:w="105.0" w:type="dxa"/>
        <w:left w:w="105.0" w:type="dxa"/>
        <w:bottom w:w="105.0" w:type="dxa"/>
        <w:right w:w="105.0" w:type="dxa"/>
      </w:tblCellMar>
    </w:tblPr>
  </w:style>
  <w:style w:type="table" w:styleId="Table3">
    <w:basedOn w:val="TableNormal"/>
    <w:tblPr>
      <w:tblStyleRowBandSize w:val="1"/>
      <w:tblStyleColBandSize w:val="1"/>
      <w:tblCellMar>
        <w:top w:w="105.0" w:type="dxa"/>
        <w:left w:w="105.0" w:type="dxa"/>
        <w:bottom w:w="105.0" w:type="dxa"/>
        <w:right w:w="105.0" w:type="dxa"/>
      </w:tblCellMar>
    </w:tblPr>
  </w:style>
  <w:style w:type="table" w:styleId="Table4">
    <w:basedOn w:val="TableNormal"/>
    <w:tblPr>
      <w:tblStyleRowBandSize w:val="1"/>
      <w:tblStyleColBandSize w:val="1"/>
      <w:tblCellMar>
        <w:top w:w="105.0" w:type="dxa"/>
        <w:left w:w="105.0" w:type="dxa"/>
        <w:bottom w:w="105.0" w:type="dxa"/>
        <w:right w:w="105.0" w:type="dxa"/>
      </w:tblCellMar>
    </w:tblPr>
  </w:style>
  <w:style w:type="table" w:styleId="Table5">
    <w:basedOn w:val="TableNormal"/>
    <w:tblPr>
      <w:tblStyleRowBandSize w:val="1"/>
      <w:tblStyleColBandSize w:val="1"/>
      <w:tblCellMar>
        <w:top w:w="105.0" w:type="dxa"/>
        <w:left w:w="105.0" w:type="dxa"/>
        <w:bottom w:w="105.0" w:type="dxa"/>
        <w:right w:w="105.0" w:type="dxa"/>
      </w:tblCellMar>
    </w:tblPr>
  </w:style>
  <w:style w:type="table" w:styleId="Table6">
    <w:basedOn w:val="TableNormal"/>
    <w:tblPr>
      <w:tblStyleRowBandSize w:val="1"/>
      <w:tblStyleColBandSize w:val="1"/>
      <w:tblCellMar>
        <w:top w:w="105.0" w:type="dxa"/>
        <w:left w:w="105.0" w:type="dxa"/>
        <w:bottom w:w="105.0" w:type="dxa"/>
        <w:right w:w="10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sgdf.fr/vos-ressources/doc-en-stock/category/196-03-scouts-guides?download=2056:kit-fiches-intendant-e" TargetMode="External"/><Relationship Id="rId10" Type="http://schemas.openxmlformats.org/officeDocument/2006/relationships/hyperlink" Target="https://www.sgdf.fr/vos-ressources/doc-en-stock/category/19-activites-et-camps?download=2465:fiche-activite-alimen-terre" TargetMode="External"/><Relationship Id="rId13" Type="http://schemas.openxmlformats.org/officeDocument/2006/relationships/hyperlink" Target="about:blank" TargetMode="External"/><Relationship Id="rId12" Type="http://schemas.openxmlformats.org/officeDocument/2006/relationships/hyperlink" Target="https://www.sgdf.fr/vos-ressources/doc-en-stock/category/354-organiser?download=2627:intend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ultimedia.ademe.fr/animations/alimentation/" TargetMode="External"/><Relationship Id="rId15" Type="http://schemas.openxmlformats.org/officeDocument/2006/relationships/hyperlink" Target="http://bibli.eeudf.org/wp-content/uploads/2013/01/pdf_Fruits-et-Legumes.pdf" TargetMode="External"/><Relationship Id="rId14" Type="http://schemas.openxmlformats.org/officeDocument/2006/relationships/hyperlink" Target="http://bibli.eeudf.org/wp-content/uploads/2013/02/pdf_Guide_Journee_Toquee.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ssources.mieux-apprendre.com/2018/05/03/jeu-de-lenveloppe/" TargetMode="External"/><Relationship Id="rId8" Type="http://schemas.openxmlformats.org/officeDocument/2006/relationships/hyperlink" Target="https://www.droledeplanete.be/fich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leway-regular.ttf"/><Relationship Id="rId2" Type="http://schemas.openxmlformats.org/officeDocument/2006/relationships/font" Target="fonts/Raleway-bold.ttf"/><Relationship Id="rId3" Type="http://schemas.openxmlformats.org/officeDocument/2006/relationships/font" Target="fonts/Raleway-italic.ttf"/><Relationship Id="rId4" Type="http://schemas.openxmlformats.org/officeDocument/2006/relationships/font" Target="fonts/Ralew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lSEu0pmomQVjt1k/yu9IVcrqww==">AMUW2mVnxnaJTaFgAhkWeBLiqVyVOK5es/vz/URniL2Ega5VTtLGOjXBb/0bUBBjrwRnkEkFobX5ndBI0u/rLq/mHlCbkSkF/XutpJpSFoUdmxerzHFuwrQ=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2020-08-26T16:17:00Z</dcterms:created>
  <dc:creator/>
</cp:coreProperties>
</file>

<file path=docProps/custom.xml><?xml version="1.0" encoding="utf-8"?>
<Properties xmlns="http://schemas.openxmlformats.org/officeDocument/2006/custom-properties" xmlns:vt="http://schemas.openxmlformats.org/officeDocument/2006/docPropsVTypes"/>
</file>